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6.png" ContentType="image/png"/>
  <Override PartName="/word/media/rId41.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new</w:t>
      </w:r>
      <w:r>
        <w:t xml:space="preserve"> </w:t>
      </w:r>
      <w:r>
        <w:t xml:space="preserve">framework</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Breast cancer is the most commonly diagnose tumor disease in the world</w:t>
      </w:r>
      <w:r>
        <w:t xml:space="preserve"> </w:t>
      </w:r>
      <w:r>
        <w:t xml:space="preserve">(1)</w:t>
      </w:r>
      <w:r>
        <w:t xml:space="preserve">.</w:t>
      </w:r>
      <w:r>
        <w:t xml:space="preserve"> </w:t>
      </w:r>
      <w:r>
        <w:t xml:space="preserve">It is also a very heterogeneous disease that can be subdivided in</w:t>
      </w:r>
      <w:r>
        <w:t xml:space="preserve"> </w:t>
      </w:r>
      <w:r>
        <w:t xml:space="preserve">different subtypes. Patients that are diagnosed with</w:t>
      </w:r>
      <w:r>
        <w:t xml:space="preserve"> </w:t>
      </w:r>
      <w:r>
        <w:t xml:space="preserve">breast cancer are classified based on the expression of the estrogen,</w:t>
      </w:r>
      <w:r>
        <w:t xml:space="preserve"> </w:t>
      </w:r>
      <w:r>
        <w:t xml:space="preserve">progesterone receptors and HER2 membrane protein. The</w:t>
      </w:r>
      <w:r>
        <w:t xml:space="preserve"> </w:t>
      </w:r>
      <w:r>
        <w:t xml:space="preserve">estrogen receptor positive (ER+) breast cancer subtype is the most</w:t>
      </w:r>
      <w:r>
        <w:t xml:space="preserve"> </w:t>
      </w:r>
      <w:r>
        <w:t xml:space="preserve">frequent found in clinical practice</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revolutionazed how cancer research is done.</w:t>
      </w:r>
      <w:r>
        <w:t xml:space="preserve"> </w:t>
      </w:r>
      <w:r>
        <w:t xml:space="preserve">The new related</w:t>
      </w:r>
      <w:r>
        <w:t xml:space="preserve"> </w:t>
      </w:r>
      <w:r>
        <w:t xml:space="preserve">tools opened the option to better understand the molecular underpinnings</w:t>
      </w:r>
      <w:r>
        <w:t xml:space="preserve"> </w:t>
      </w:r>
      <w:r>
        <w:t xml:space="preserve">of cancer biology. In breast cancer, microarray technologies and</w:t>
      </w:r>
      <w:r>
        <w:t xml:space="preserve"> </w:t>
      </w:r>
      <w:r>
        <w:t xml:space="preserve">RNA-sequencing have been used to develop gene signatures that are able to</w:t>
      </w:r>
      <w:r>
        <w:t xml:space="preserve"> </w:t>
      </w:r>
      <w:r>
        <w:t xml:space="preserve">assign a risk score, usually for node-negative, post-menopausal and ER+ BC</w:t>
      </w:r>
      <w:r>
        <w:t xml:space="preserve"> </w:t>
      </w:r>
      <w:r>
        <w:t xml:space="preserve">patients. The risk score is based on survival data found in the literature</w:t>
      </w:r>
      <w:r>
        <w:t xml:space="preserve"> </w:t>
      </w:r>
      <w:r>
        <w:t xml:space="preserve">and the higher the risk score of a patient, the higher the benefit of</w:t>
      </w:r>
      <w:r>
        <w:t xml:space="preserve"> </w:t>
      </w:r>
      <w:r>
        <w:t xml:space="preserve">additional chemotherapy besides the first-line therapy, such as</w:t>
      </w:r>
      <w:r>
        <w:t xml:space="preserve"> </w:t>
      </w:r>
      <w:r>
        <w:t xml:space="preserve">aromatase inhibitors. Several of these signatures are already available</w:t>
      </w:r>
      <w:r>
        <w:t xml:space="preserve"> </w:t>
      </w:r>
      <w:r>
        <w:t xml:space="preserve">to be used in hospitals</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HER2 and invasion. In some of the cases</w:t>
      </w:r>
      <w:r>
        <w:t xml:space="preserve"> </w:t>
      </w:r>
      <w:r>
        <w:t xml:space="preserve">the risk score is more strongly associated with the estrogen module and in</w:t>
      </w:r>
      <w:r>
        <w:t xml:space="preserve"> </w:t>
      </w:r>
      <w:r>
        <w:t xml:space="preserve">other cases to the proliferation module</w:t>
      </w:r>
      <w:r>
        <w:t xml:space="preserve"> </w:t>
      </w:r>
      <w:r>
        <w:t xml:space="preserve">(11)</w:t>
      </w:r>
      <w:r>
        <w:t xml:space="preserve">. There is still a lack of</w:t>
      </w:r>
      <w:r>
        <w:t xml:space="preserve"> </w:t>
      </w:r>
      <w:r>
        <w:t xml:space="preserve">understanding of the patient’s tumor molecular biology.</w:t>
      </w:r>
    </w:p>
    <w:p>
      <w:pPr>
        <w:pStyle w:val="BodyText"/>
      </w:pPr>
      <w:r>
        <w:t xml:space="preserve">We propose here a framework for personalized medicine and the understanding</w:t>
      </w:r>
      <w:r>
        <w:t xml:space="preserve"> </w:t>
      </w:r>
      <w:r>
        <w:t xml:space="preserve">of the signaling pathways in a patient level. By developing a normalization</w:t>
      </w:r>
      <w:r>
        <w:t xml:space="preserve"> </w:t>
      </w:r>
      <w:r>
        <w:t xml:space="preserve">and projection technique, we show that it is possible to integrate</w:t>
      </w:r>
      <w:r>
        <w:t xml:space="preserve"> </w:t>
      </w:r>
      <w:r>
        <w:t xml:space="preserve">publicly available molecular datasets, such as TCGA, SCAN-B, METABRIC and</w:t>
      </w:r>
      <w:r>
        <w:t xml:space="preserve"> </w:t>
      </w:r>
      <w:r>
        <w:t xml:space="preserve">microarray data of some patients from the POETIC trial</w:t>
      </w:r>
      <w:r>
        <w:t xml:space="preserve"> </w:t>
      </w:r>
      <w:r>
        <w:t xml:space="preserve">(12–15)</w:t>
      </w:r>
      <w:r>
        <w:t xml:space="preserve">, and that it is possible</w:t>
      </w:r>
      <w:r>
        <w:t xml:space="preserve"> </w:t>
      </w:r>
      <w:r>
        <w:t xml:space="preserve">to compare patients in a neighborhood of the projected data, providing</w:t>
      </w:r>
      <w:r>
        <w:t xml:space="preserve"> </w:t>
      </w:r>
      <w:r>
        <w:t xml:space="preserve">a context to compare patients and better understand the biology of the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(16,17)</w:t>
      </w:r>
      <w:r>
        <w:t xml:space="preserve"> </w:t>
      </w:r>
      <w:r>
        <w:t xml:space="preserve">to understand</w:t>
      </w:r>
      <w:r>
        <w:t xml:space="preserve"> </w:t>
      </w:r>
      <w:r>
        <w:t xml:space="preserve">the biology of the tumors in patient and neighborhood levels.</w:t>
      </w:r>
    </w:p>
    <w:bookmarkEnd w:id="21"/>
    <w:bookmarkStart w:id="30"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(12–15)</w:t>
      </w:r>
      <w:r>
        <w:t xml:space="preserve"> </w:t>
      </w:r>
      <w:r>
        <w:t xml:space="preserve">were used to calculate the PCA embeddings and scores. The samples are of</w:t>
      </w:r>
      <w:r>
        <w:t xml:space="preserve"> </w:t>
      </w:r>
      <w:r>
        <w:t xml:space="preserve">primary breast cancer samples from different molecular subtypes and age</w:t>
      </w:r>
      <w:r>
        <w:t xml:space="preserve"> </w:t>
      </w:r>
      <w:r>
        <w:t xml:space="preserve">distribution. TCGA was download from Firebrowse, SCANB data was downloaded</w:t>
      </w:r>
      <w:r>
        <w:t xml:space="preserve"> </w:t>
      </w:r>
      <w:r>
        <w:t xml:space="preserve">from GEO (accession code GSE96058)</w:t>
      </w:r>
      <w:r>
        <w:t xml:space="preserve"> </w:t>
      </w:r>
      <w:r>
        <w:t xml:space="preserve">using the package GEOquery</w:t>
      </w:r>
      <w:r>
        <w:t xml:space="preserve"> </w:t>
      </w:r>
      <w:r>
        <w:t xml:space="preserve">(18)</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More 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standard deviation of that gene was calculated. Then an</w:t>
      </w:r>
      <w:r>
        <w:t xml:space="preserve"> </w:t>
      </w:r>
      <w:r>
        <w:t xml:space="preserve">average standard deviation was calculated using the formula below.</w:t>
      </w:r>
    </w:p>
    <w:p>
      <w:pPr>
        <w:pStyle w:val="BodyText"/>
      </w:pPr>
      <m:oMathPara>
        <m:oMathParaPr>
          <m:jc m:val="center"/>
        </m:oMathParaPr>
        <m:oMath>
          <m:r>
            <m:rPr>
              <m:nor/>
              <m:sty m:val="p"/>
            </m:rPr>
            <m:t>average sd</m:t>
          </m:r>
          <m:r>
            <m:rPr>
              <m:sty m:val="p"/>
            </m:rPr>
            <m:t>=</m:t>
          </m:r>
          <m:rad>
            <m:radPr>
              <m:degHide m:val="1"/>
            </m:radPr>
            <m:deg/>
            <m:e>
              <m:f>
                <m:fPr>
                  <m:type m:val="bar"/>
                </m:fPr>
                <m:num>
                  <m:d>
                    <m:dPr>
                      <m:begChr m:val="("/>
                      <m:endChr m:val=")"/>
                      <m:sepChr m:val=""/>
                      <m:grow/>
                    </m:dPr>
                    <m:e>
                      <m:r>
                        <m:t>s</m:t>
                      </m:r>
                      <m:sSubSup>
                        <m:e>
                          <m:r>
                            <m:t>d</m:t>
                          </m:r>
                        </m:e>
                        <m:sub>
                          <m:r>
                            <m:t>T</m:t>
                          </m:r>
                          <m:r>
                            <m:t>C</m:t>
                          </m:r>
                          <m:r>
                            <m:t>G</m:t>
                          </m:r>
                          <m:r>
                            <m:t>A</m:t>
                          </m:r>
                        </m:sub>
                        <m:sup>
                          <m:r>
                            <m:t>2</m:t>
                          </m:r>
                        </m:sup>
                      </m:sSubSup>
                      <m:r>
                        <m:rPr>
                          <m:sty m:val="p"/>
                        </m:rPr>
                        <m:t>+</m:t>
                      </m:r>
                      <m:r>
                        <m:t>s</m:t>
                      </m:r>
                      <m:sSubSup>
                        <m:e>
                          <m:r>
                            <m:t>d</m:t>
                          </m:r>
                        </m:e>
                        <m:sub>
                          <m:r>
                            <m:t>M</m:t>
                          </m:r>
                          <m:r>
                            <m:t>E</m:t>
                          </m:r>
                          <m:r>
                            <m:t>T</m:t>
                          </m:r>
                          <m:r>
                            <m:t>A</m:t>
                          </m:r>
                          <m:r>
                            <m:t>B</m:t>
                          </m:r>
                          <m:r>
                            <m:t>R</m:t>
                          </m:r>
                          <m:r>
                            <m:t>I</m:t>
                          </m:r>
                          <m:r>
                            <m:t>C</m:t>
                          </m:r>
                        </m:sub>
                        <m:sup>
                          <m:r>
                            <m:t>2</m:t>
                          </m:r>
                        </m:sup>
                      </m:sSubSup>
                    </m:e>
                  </m:d>
                </m:num>
                <m:den>
                  <m:r>
                    <m:t>k</m:t>
                  </m:r>
                </m:den>
              </m:f>
            </m:e>
          </m:rad>
        </m:oMath>
      </m:oMathPara>
    </w:p>
    <w:bookmarkEnd w:id="23"/>
    <w:bookmarkStart w:id="24" w:name="qpcr-like-normalization"/>
    <w:p>
      <w:pPr>
        <w:pStyle w:val="Heading2"/>
      </w:pPr>
      <w:r>
        <w:t xml:space="preserve">qPCR-like normalization</w:t>
      </w:r>
    </w:p>
    <w:p>
      <w:pPr>
        <w:pStyle w:val="FirstParagraph"/>
      </w:pPr>
      <w:r>
        <w:t xml:space="preserve">Since samples are coming from different platforms, they need to be</w:t>
      </w:r>
      <w:r>
        <w:t xml:space="preserve"> </w:t>
      </w:r>
      <w:r>
        <w:t xml:space="preserve">scaled in a way that they are comparable. For this we developed a new way</w:t>
      </w:r>
      <w:r>
        <w:t xml:space="preserve"> </w:t>
      </w:r>
      <w:r>
        <w:t xml:space="preserve">to scale the data based on the ranking of the samples. Given a list of 44</w:t>
      </w:r>
      <w:r>
        <w:t xml:space="preserve"> </w:t>
      </w:r>
      <w:r>
        <w:t xml:space="preserve">stable genes across different cancers</w:t>
      </w:r>
      <w:r>
        <w:t xml:space="preserve"> </w:t>
      </w:r>
      <w:r>
        <w:t xml:space="preserve">(19)</w:t>
      </w:r>
      <w:r>
        <w:t xml:space="preserve"> </w:t>
      </w:r>
      <w:r>
        <w:t xml:space="preserve">and the 1000</w:t>
      </w:r>
      <w:r>
        <w:t xml:space="preserve"> </w:t>
      </w:r>
      <w:r>
        <w:t xml:space="preserve">genes selected previously,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This is an unsupervised learning method, therefore there is no need to label</w:t>
      </w:r>
      <w:r>
        <w:t xml:space="preserve"> </w:t>
      </w:r>
      <w:r>
        <w:t xml:space="preserve">the samples with respect to some category. The package PCAtools</w:t>
      </w:r>
      <w:r>
        <w:t xml:space="preserve"> </w:t>
      </w:r>
      <w:r>
        <w:t xml:space="preserve">(20)</w:t>
      </w:r>
      <w:r>
        <w:t xml:space="preserve"> </w:t>
      </w:r>
      <w:r>
        <w:t xml:space="preserve">in R was used to perform the PCA and to obtain the loadings for</w:t>
      </w:r>
      <w:r>
        <w:t xml:space="preserve"> </w:t>
      </w:r>
      <w:r>
        <w:t xml:space="preserve">downstream analysis. The embedding for new individual samples is obtained</w:t>
      </w:r>
      <w:r>
        <w:t xml:space="preserve"> </w:t>
      </w:r>
      <w:r>
        <w:t xml:space="preserve">by multiplying the loadings matrix with the normalized data for that sample.</w:t>
      </w:r>
      <w:r>
        <w:t xml:space="preserve"> </w:t>
      </w:r>
      <w:r>
        <w:t xml:space="preserve">Since the normalization procedure is performed sample-wise, this step is</w:t>
      </w:r>
      <w:r>
        <w:t xml:space="preserve"> </w:t>
      </w:r>
      <w:r>
        <w:t xml:space="preserve">independent of the number of samples. If there are missing genes in a sample,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(21)</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(22)</w:t>
      </w:r>
      <w:r>
        <w:t xml:space="preserve"> </w:t>
      </w:r>
      <w:r>
        <w:t xml:space="preserve">and the hallmark collection from the molecular signature</w:t>
      </w:r>
      <w:r>
        <w:t xml:space="preserve"> </w:t>
      </w:r>
      <w:r>
        <w:t xml:space="preserve">database</w:t>
      </w:r>
      <w:r>
        <w:t xml:space="preserve"> </w:t>
      </w:r>
      <w:r>
        <w:t xml:space="preserve">(16,23)</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(24)</w:t>
      </w:r>
      <w:r>
        <w:t xml:space="preserve">.</w:t>
      </w:r>
      <w:r>
        <w:t xml:space="preserve"> </w:t>
      </w:r>
      <w:r>
        <w:t xml:space="preserve">The package</w:t>
      </w:r>
      <w:r>
        <w:t xml:space="preserve"> </w:t>
      </w:r>
      <w:r>
        <w:rPr>
          <w:rStyle w:val="VerbatimChar"/>
        </w:rPr>
        <w:t xml:space="preserve">tidybayes</w:t>
      </w:r>
      <w:r>
        <w:t xml:space="preserve"> </w:t>
      </w:r>
      <w:r>
        <w:t xml:space="preserve">(25)</w:t>
      </w:r>
      <w:r>
        <w:t xml:space="preserve"> </w:t>
      </w:r>
      <w:r>
        <w:t xml:space="preserve">was used to extract</w:t>
      </w:r>
      <w:r>
        <w:t xml:space="preserve"> </w:t>
      </w:r>
      <w:r>
        <w:t xml:space="preserve">the draws and put them in a tidy format.</w:t>
      </w:r>
    </w:p>
    <w:bookmarkEnd w:id="27"/>
    <w:bookmarkStart w:id="29" w:name="code-availability"/>
    <w:p>
      <w:pPr>
        <w:pStyle w:val="Heading2"/>
      </w:pPr>
      <w:r>
        <w:t xml:space="preserve">Code availability</w:t>
      </w:r>
    </w:p>
    <w:p>
      <w:pPr>
        <w:pStyle w:val="FirstParagraph"/>
      </w:pPr>
      <w:r>
        <w:t xml:space="preserve">The code used to generate all the analysis is available on</w:t>
      </w:r>
      <w:r>
        <w:t xml:space="preserve"> </w:t>
      </w:r>
      <w:r>
        <w:t xml:space="preserve">https://github.com/chronchi/molecular_landscape. Descriptions for</w:t>
      </w:r>
      <w:r>
        <w:t xml:space="preserve"> </w:t>
      </w:r>
      <w:r>
        <w:t xml:space="preserve">a docker image to reproduce the analysis are available on the github</w:t>
      </w:r>
      <w:r>
        <w:t xml:space="preserve"> </w:t>
      </w:r>
      <w:r>
        <w:t xml:space="preserve">repository. An online version with a website containing all the analysis</w:t>
      </w:r>
      <w:r>
        <w:t xml:space="preserve"> </w:t>
      </w:r>
      <w:r>
        <w:t xml:space="preserve">can be found on</w:t>
      </w:r>
      <w:r>
        <w:t xml:space="preserve"> </w:t>
      </w:r>
      <w:hyperlink r:id="rId28">
        <w:r>
          <w:rPr>
            <w:rStyle w:val="Hyperlink"/>
          </w:rPr>
          <w:t xml:space="preserve">https://chronchi.github.io/molecular_landscape</w:t>
        </w:r>
      </w:hyperlink>
    </w:p>
    <w:bookmarkEnd w:id="29"/>
    <w:bookmarkEnd w:id="30"/>
    <w:bookmarkStart w:id="51" w:name="results"/>
    <w:p>
      <w:pPr>
        <w:pStyle w:val="Heading1"/>
      </w:pPr>
      <w:r>
        <w:t xml:space="preserve">Results</w:t>
      </w:r>
    </w:p>
    <w:bookmarkStart w:id="35" w:name="Xa7852579298aa6aec6315c0a2aa7049de59aaf0"/>
    <w:p>
      <w:pPr>
        <w:pStyle w:val="Heading2"/>
      </w:pPr>
      <w:r>
        <w:t xml:space="preserve">Estrogen receptor is a clinical continuous variable</w:t>
      </w:r>
    </w:p>
    <w:p>
      <w:pPr>
        <w:pStyle w:val="FirstParagraph"/>
      </w:pPr>
      <w:r>
        <w:t xml:space="preserve">We used three independent breast cancer molecular datasets</w:t>
      </w:r>
      <w:r>
        <w:t xml:space="preserve"> </w:t>
      </w:r>
      <w:r>
        <w:t xml:space="preserve">(12–14)</w:t>
      </w:r>
      <w:r>
        <w:t xml:space="preserve"> </w:t>
      </w:r>
      <w:r>
        <w:t xml:space="preserve">to calculate estrogen signaling scores.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(16)</w:t>
      </w:r>
      <w:r>
        <w:t xml:space="preserve"> </w:t>
      </w:r>
      <w:r>
        <w:t xml:space="preserve">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(22)</w:t>
      </w:r>
      <w:r>
        <w:t xml:space="preserve">. The individual</w:t>
      </w:r>
      <w:r>
        <w:t xml:space="preserve"> </w:t>
      </w:r>
      <w:r>
        <w:t xml:space="preserve">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It shows the scores capture the differences</w:t>
      </w:r>
      <w:r>
        <w:t xml:space="preserve"> </w:t>
      </w:r>
      <w:r>
        <w:t xml:space="preserve">between the two breast cancer subtypes as expected. Moreover, there is a</w:t>
      </w:r>
      <w:r>
        <w:t xml:space="preserve"> </w:t>
      </w:r>
      <w:r>
        <w:t xml:space="preserve">wide range of values in the estrogen receptor positive (ER+) subgroup.</w:t>
      </w:r>
    </w:p>
    <w:p>
      <w:pPr>
        <w:pStyle w:val="BodyText"/>
      </w:pPr>
      <w:r>
        <w:t xml:space="preserve">Cox regression was used to determine the hazard ratio of the 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Only ER+ BC patients were used and</w:t>
      </w:r>
      <w:r>
        <w:t xml:space="preserve"> </w:t>
      </w:r>
      <w:r>
        <w:t xml:space="preserve">when possible only those that received endocrine therapy.</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w:t>
      </w:r>
    </w:p>
    <w:tbl>
      <w:tblPr>
        <w:tblStyle w:val="Table"/>
        <w:tblW w:type="pct" w:w="5000"/>
        <w:tblLook w:firstRow="0" w:lastRow="0" w:firstColumn="0" w:lastColumn="0" w:noHBand="0" w:noVBand="0" w:val="0000"/>
      </w:tblPr>
      <w:tblGrid>
        <w:gridCol w:w="7920"/>
      </w:tblGrid>
      <w:tr>
        <w:tc>
          <w:tcPr/>
          <w:bookmarkStart w:id="34" w:name="fig-01"/>
          <w:p>
            <w:pPr>
              <w:pStyle w:val="Figure"/>
              <w:jc w:val="center"/>
            </w:pPr>
            <w:r>
              <w:drawing>
                <wp:inline>
                  <wp:extent cx="5334000" cy="4124722"/>
                  <wp:effectExtent b="0" l="0" r="0" t="0"/>
                  <wp:docPr descr="" title="" id="32" name="Picture"/>
                  <a:graphic>
                    <a:graphicData uri="http://schemas.openxmlformats.org/drawingml/2006/picture">
                      <pic:pic>
                        <pic:nvPicPr>
                          <pic:cNvPr descr="images/png/figure01.png" id="33" name="Picture"/>
                          <pic:cNvPicPr>
                            <a:picLocks noChangeArrowheads="1" noChangeAspect="1"/>
                          </pic:cNvPicPr>
                        </pic:nvPicPr>
                        <pic:blipFill>
                          <a:blip r:embed="rId31"/>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34"/>
        </w:tc>
      </w:tr>
    </w:tbl>
    <w:bookmarkEnd w:id="35"/>
    <w:bookmarkStart w:id="40"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w:t>
      </w:r>
      <w:r>
        <w:t xml:space="preserve"> </w:t>
      </w:r>
      <w:r>
        <w:t xml:space="preserve">(See methods section for the step by step)</w:t>
      </w:r>
      <w:r>
        <w:t xml:space="preserve"> </w:t>
      </w:r>
      <w:r>
        <w:t xml:space="preserve">to integrate microarray and bulk RNA-seq and create a molecular landscape.</w:t>
      </w:r>
      <w:r>
        <w:t xml:space="preserve"> </w:t>
      </w:r>
      <w:r>
        <w:t xml:space="preserve">The advantage of the method is that</w:t>
      </w:r>
      <w:r>
        <w:t xml:space="preserve"> </w:t>
      </w:r>
      <w:r>
        <w:t xml:space="preserve">given a new sample, it can easily be integrated with all the other previous</w:t>
      </w:r>
      <w:r>
        <w:t xml:space="preserve"> </w:t>
      </w:r>
      <w:r>
        <w:t xml:space="preserve">samples without any retraining.</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using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is mostly dividing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 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w:t>
      </w:r>
    </w:p>
    <w:tbl>
      <w:tblPr>
        <w:tblStyle w:val="Table"/>
        <w:tblW w:type="pct" w:w="5000"/>
        <w:tblLook w:firstRow="0" w:lastRow="0" w:firstColumn="0" w:lastColumn="0" w:noHBand="0" w:noVBand="0" w:val="0000"/>
      </w:tblPr>
      <w:tblGrid>
        <w:gridCol w:w="7920"/>
      </w:tblGrid>
      <w:tr>
        <w:tc>
          <w:tcPr/>
          <w:bookmarkStart w:id="39" w:name="fig-02"/>
          <w:p>
            <w:pPr>
              <w:pStyle w:val="Figure"/>
              <w:jc w:val="center"/>
            </w:pPr>
            <w:r>
              <w:drawing>
                <wp:inline>
                  <wp:extent cx="5334000" cy="3816653"/>
                  <wp:effectExtent b="0" l="0" r="0" t="0"/>
                  <wp:docPr descr="" title="" id="37" name="Picture"/>
                  <a:graphic>
                    <a:graphicData uri="http://schemas.openxmlformats.org/drawingml/2006/picture">
                      <pic:pic>
                        <pic:nvPicPr>
                          <pic:cNvPr descr="images/png/figure02.png" id="38" name="Picture"/>
                          <pic:cNvPicPr>
                            <a:picLocks noChangeArrowheads="1" noChangeAspect="1"/>
                          </pic:cNvPicPr>
                        </pic:nvPicPr>
                        <pic:blipFill>
                          <a:blip r:embed="rId36"/>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39"/>
        </w:tc>
      </w:tr>
    </w:tbl>
    <w:bookmarkEnd w:id="40"/>
    <w:bookmarkStart w:id="45" w:name="X72d4eabaa79479c4c1de9835595e78bbcbc554c"/>
    <w:p>
      <w:pPr>
        <w:pStyle w:val="Heading2"/>
      </w:pPr>
      <w:r>
        <w:t xml:space="preserve">Embedding is robust to missing genes and generalized to a validation cohort</w:t>
      </w:r>
    </w:p>
    <w:p>
      <w:pPr>
        <w:pStyle w:val="FirstParagraph"/>
      </w:pPr>
      <w:r>
        <w:t xml:space="preserve">METABRIC and TCGA were used to train and validate the projections.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 METABRIC.</w:t>
      </w:r>
      <w:r>
        <w:t xml:space="preserve"> </w:t>
      </w:r>
      <w:r>
        <w:t xml:space="preserve">It is also in between the two cohorts.</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3">
        <w:r>
          <w:rPr>
            <w:rStyle w:val="Hyperlink"/>
          </w:rPr>
          <w:t xml:space="preserve">Figure 3</w:t>
        </w:r>
      </w:hyperlink>
      <w:r>
        <w:t xml:space="preserve"> </w:t>
      </w:r>
      <w:r>
        <w:t xml:space="preserve">(e)). Another problem that arises with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3">
        <w:r>
          <w:rPr>
            <w:rStyle w:val="Hyperlink"/>
          </w:rPr>
          <w:t xml:space="preserve">Figure 3</w:t>
        </w:r>
      </w:hyperlink>
      <w:r>
        <w:t xml:space="preserve"> </w:t>
      </w:r>
      <w:r>
        <w:t xml:space="preserve">(f)). The</w:t>
      </w:r>
      <w:r>
        <w:t xml:space="preserve"> </w:t>
      </w:r>
      <w:r>
        <w:t xml:space="preserve">higher the proportion the less precise the embedding is.</w:t>
      </w:r>
    </w:p>
    <w:tbl>
      <w:tblPr>
        <w:tblStyle w:val="Table"/>
        <w:tblW w:type="pct" w:w="5000"/>
        <w:tblLook w:firstRow="0" w:lastRow="0" w:firstColumn="0" w:lastColumn="0" w:noHBand="0" w:noVBand="0" w:val="0000"/>
      </w:tblPr>
      <w:tblGrid>
        <w:gridCol w:w="7920"/>
      </w:tblGrid>
      <w:tr>
        <w:tc>
          <w:tcPr/>
          <w:bookmarkStart w:id="44" w:name="fig-03"/>
          <w:p>
            <w:pPr>
              <w:pStyle w:val="Figure"/>
              <w:jc w:val="center"/>
            </w:pPr>
            <w:r>
              <w:drawing>
                <wp:inline>
                  <wp:extent cx="5334000" cy="5626902"/>
                  <wp:effectExtent b="0" l="0" r="0" t="0"/>
                  <wp:docPr descr="" title="" id="42" name="Picture"/>
                  <a:graphic>
                    <a:graphicData uri="http://schemas.openxmlformats.org/drawingml/2006/picture">
                      <pic:pic>
                        <pic:nvPicPr>
                          <pic:cNvPr descr="images/png/figure03.png" id="43" name="Picture"/>
                          <pic:cNvPicPr>
                            <a:picLocks noChangeArrowheads="1" noChangeAspect="1"/>
                          </pic:cNvPicPr>
                        </pic:nvPicPr>
                        <pic:blipFill>
                          <a:blip r:embed="rId41"/>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44"/>
        </w:tc>
      </w:tr>
    </w:tbl>
    <w:bookmarkEnd w:id="45"/>
    <w:bookmarkStart w:id="50"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embedding, we can</w:t>
      </w:r>
      <w:r>
        <w:t xml:space="preserve"> </w:t>
      </w:r>
      <w:r>
        <w:t xml:space="preserve">add samples from any cohort with relative good data. The POETIC trial</w:t>
      </w:r>
      <w:r>
        <w:t xml:space="preserve"> </w:t>
      </w:r>
      <w:r>
        <w:t xml:space="preserve">(26)</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They sent for microarray hybridization matched samples from baseline</w:t>
      </w:r>
      <w:r>
        <w:t xml:space="preserve"> </w:t>
      </w:r>
      <w:r>
        <w:t xml:space="preserve">(before treatment) and at surgery (after an average of 14 days of treatment)</w:t>
      </w:r>
      <w:r>
        <w:t xml:space="preserve"> </w:t>
      </w:r>
      <w:r>
        <w:t xml:space="preserve">(15)</w:t>
      </w:r>
      <w:r>
        <w:t xml:space="preserve">. There are also untreated patients, used to control for sample</w:t>
      </w:r>
      <w:r>
        <w:t xml:space="preserve"> </w:t>
      </w:r>
      <w:r>
        <w:t xml:space="preserve">processing artefacts. Moreover,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The molecular landscape can shed light on the differences between</w:t>
      </w:r>
      <w:r>
        <w:t xml:space="preserve"> </w:t>
      </w:r>
      <w:r>
        <w:t xml:space="preserve">responders and non responders.</w:t>
      </w:r>
      <w:r>
        <w:t xml:space="preserve"> </w:t>
      </w:r>
      <w:r>
        <w:t xml:space="preserve">We embedded the POETIC trial samples using the procedure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showing that</w:t>
      </w:r>
      <w:r>
        <w:t xml:space="preserve"> </w:t>
      </w:r>
      <w:r>
        <w:t xml:space="preserve">patients indeed have different molecular biological properties. Moreover,</w:t>
      </w:r>
      <w:r>
        <w:t xml:space="preserve"> </w:t>
      </w:r>
      <w:r>
        <w:t xml:space="preserve">given 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and their average posterior</w:t>
      </w:r>
      <w:r>
        <w:t xml:space="preserve"> </w:t>
      </w:r>
      <w:r>
        <w:t xml:space="preserve">distributions are shown for both patients.</w:t>
      </w:r>
    </w:p>
    <w:tbl>
      <w:tblPr>
        <w:tblStyle w:val="Table"/>
        <w:tblW w:type="pct" w:w="5000"/>
        <w:tblLook w:firstRow="0" w:lastRow="0" w:firstColumn="0" w:lastColumn="0" w:noHBand="0" w:noVBand="0" w:val="0000"/>
      </w:tblPr>
      <w:tblGrid>
        <w:gridCol w:w="7920"/>
      </w:tblGrid>
      <w:tr>
        <w:tc>
          <w:tcPr/>
          <w:bookmarkStart w:id="49" w:name="fig-04"/>
          <w:p>
            <w:pPr>
              <w:pStyle w:val="Figure"/>
              <w:jc w:val="center"/>
            </w:pPr>
            <w:r>
              <w:drawing>
                <wp:inline>
                  <wp:extent cx="5334000" cy="2761522"/>
                  <wp:effectExtent b="0" l="0" r="0" t="0"/>
                  <wp:docPr descr="" title="" id="47" name="Picture"/>
                  <a:graphic>
                    <a:graphicData uri="http://schemas.openxmlformats.org/drawingml/2006/picture">
                      <pic:pic>
                        <pic:nvPicPr>
                          <pic:cNvPr descr="images/png/figure04.png" id="48" name="Picture"/>
                          <pic:cNvPicPr>
                            <a:picLocks noChangeArrowheads="1" noChangeAspect="1"/>
                          </pic:cNvPicPr>
                        </pic:nvPicPr>
                        <pic:blipFill>
                          <a:blip r:embed="rId46"/>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49"/>
        </w:tc>
      </w:tr>
    </w:tbl>
    <w:bookmarkEnd w:id="50"/>
    <w:bookmarkEnd w:id="51"/>
    <w:bookmarkStart w:id="52" w:name="discussion"/>
    <w:p>
      <w:pPr>
        <w:pStyle w:val="Heading1"/>
      </w:pPr>
      <w:r>
        <w:t xml:space="preserve">Discussion</w:t>
      </w:r>
    </w:p>
    <w:p>
      <w:pPr>
        <w:pStyle w:val="FirstParagraph"/>
      </w:pPr>
      <w:r>
        <w:t xml:space="preserve">Personalized medicine is a key topic in medicine. The goal of better</w:t>
      </w:r>
      <w:r>
        <w:t xml:space="preserve"> </w:t>
      </w:r>
      <w:r>
        <w:t xml:space="preserve">understanding the molecular underpinnings of the diseases leads to a better</w:t>
      </w:r>
      <w:r>
        <w:t xml:space="preserve"> </w:t>
      </w:r>
      <w:r>
        <w:t xml:space="preserve">allocation of treatments and resources in the patient care.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In general, estrogen receptor status is considered either a dichotomous or</w:t>
      </w:r>
      <w:r>
        <w:t xml:space="preserve"> </w:t>
      </w:r>
      <w:r>
        <w:t xml:space="preserve">trichotomous state</w:t>
      </w:r>
      <w:r>
        <w:t xml:space="preserve"> </w:t>
      </w:r>
      <w:r>
        <w:t xml:space="preserve">(3)</w:t>
      </w:r>
      <w:r>
        <w:t xml:space="preserve">. Breast cancers are classified either in</w:t>
      </w:r>
      <w:r>
        <w:t xml:space="preserve"> </w:t>
      </w:r>
      <w:r>
        <w:t xml:space="preserve">ER+ or ER- based on their protein expression levels and IHC. For those tumors</w:t>
      </w:r>
      <w:r>
        <w:t xml:space="preserve"> </w:t>
      </w:r>
      <w:r>
        <w:t xml:space="preserve">that are ER+, they can be subdivided into low ER positive (1% &lt; IHC% &lt; 10%)</w:t>
      </w:r>
      <w:r>
        <w:t xml:space="preserve"> </w:t>
      </w:r>
      <w:r>
        <w:t xml:space="preserve">and simply ER positive. Those that are into the low ER positive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(12–14)</w:t>
      </w:r>
      <w:r>
        <w:t xml:space="preserve"> </w:t>
      </w:r>
      <w:r>
        <w:t xml:space="preserve">with both RNA-seq and microarray data, that ER status is more of a continuous</w:t>
      </w:r>
      <w:r>
        <w:t xml:space="preserve"> </w:t>
      </w:r>
      <w:r>
        <w:t xml:space="preserve">rather than a categorical state. This can aid in treatment decision</w:t>
      </w:r>
      <w:r>
        <w:t xml:space="preserve"> </w:t>
      </w:r>
      <w:r>
        <w:t xml:space="preserve">when evaluating the breast cancer. 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 signature</w:t>
      </w:r>
      <w:r>
        <w:t xml:space="preserve"> </w:t>
      </w:r>
      <w:r>
        <w:t xml:space="preserve">itself</w:t>
      </w:r>
      <w:r>
        <w:t xml:space="preserve"> </w:t>
      </w:r>
      <w:r>
        <w:t xml:space="preserve">(11)</w:t>
      </w:r>
      <w:r>
        <w:t xml:space="preserve">.</w:t>
      </w:r>
    </w:p>
    <w:p>
      <w:pPr>
        <w:pStyle w:val="BodyText"/>
      </w:pPr>
      <w:r>
        <w:t xml:space="preserve">Integrating molecular data steaming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(27,28)</w:t>
      </w:r>
      <w:r>
        <w:t xml:space="preserve">, on the other hand they are not</w:t>
      </w:r>
      <w:r>
        <w:t xml:space="preserve"> </w:t>
      </w:r>
      <w:r>
        <w:t xml:space="preserve">single sample based, meaning each time a new sample comes the algorithm runs.</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signaling where from</w:t>
      </w:r>
      <w:r>
        <w:t xml:space="preserve"> </w:t>
      </w:r>
      <w:r>
        <w:t xml:space="preserve">right to left there is a gradient of ER positivity.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(29)</w:t>
      </w:r>
      <w:r>
        <w:t xml:space="preserve">.</w:t>
      </w:r>
    </w:p>
    <w:p>
      <w:pPr>
        <w:pStyle w:val="BodyText"/>
      </w:pPr>
      <w:r>
        <w:t xml:space="preserve">Moreover, the embeddings in a validation set</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(15,26)</w:t>
      </w:r>
      <w:r>
        <w:t xml:space="preserve">,</w:t>
      </w:r>
      <w:r>
        <w:t xml:space="preserve"> </w:t>
      </w:r>
      <w:r>
        <w:t xml:space="preserve">and we show that it is projected closer to METABRIC as expected</w:t>
      </w:r>
      <w:r>
        <w:t xml:space="preserve"> </w:t>
      </w:r>
      <w:r>
        <w:t xml:space="preserve">according to the first two components.</w:t>
      </w:r>
      <w:r>
        <w:t xml:space="preserve"> </w:t>
      </w:r>
      <w:r>
        <w:t xml:space="preserve">We also show that the embedding is independent</w:t>
      </w:r>
      <w:r>
        <w:t xml:space="preserve"> </w:t>
      </w:r>
      <w:r>
        <w:t xml:space="preserve">of the training set and that when changing the training set the embedding</w:t>
      </w:r>
      <w:r>
        <w:t xml:space="preserve"> </w:t>
      </w:r>
      <w:r>
        <w:t xml:space="preserve">is only rotated or translated, thus not affecting the global</w:t>
      </w:r>
      <w:r>
        <w:t xml:space="preserve"> </w:t>
      </w:r>
      <w:r>
        <w:t xml:space="preserve">structure of the projection.</w:t>
      </w:r>
    </w:p>
    <w:p>
      <w:pPr>
        <w:pStyle w:val="BodyText"/>
      </w:pPr>
      <w:r>
        <w:t xml:space="preserve">Sometimes when dealing with publicly available datasets, not all of the</w:t>
      </w:r>
      <w:r>
        <w:t xml:space="preserve"> </w:t>
      </w:r>
      <w:r>
        <w:t xml:space="preserve">genes are available due to ethical</w:t>
      </w:r>
      <w:r>
        <w:t xml:space="preserve"> </w:t>
      </w:r>
      <w:r>
        <w:t xml:space="preserve">(13)</w:t>
      </w:r>
      <w:r>
        <w:t xml:space="preserve">, pre-processing or</w:t>
      </w:r>
      <w:r>
        <w:t xml:space="preserve"> </w:t>
      </w:r>
      <w:r>
        <w:t xml:space="preserve">technological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plane.</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(15)</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(30)</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possible way to circumvent</w:t>
      </w:r>
      <w:r>
        <w:t xml:space="preserve"> </w:t>
      </w:r>
      <w:r>
        <w:t xml:space="preserve">this problem is by using singscore or stingscore</w:t>
      </w:r>
      <w:r>
        <w:t xml:space="preserve"> </w:t>
      </w:r>
      <w:r>
        <w:t xml:space="preserve">(19,31)</w:t>
      </w:r>
      <w:r>
        <w:t xml:space="preserve">,</w:t>
      </w:r>
      <w:r>
        <w:t xml:space="preserve"> </w:t>
      </w:r>
      <w:r>
        <w:t xml:space="preserve">a single sample pathway scorer. There is still a cost barrier for using</w:t>
      </w:r>
      <w:r>
        <w:t xml:space="preserve"> </w:t>
      </w:r>
      <w:r>
        <w:t xml:space="preserve">RNA-seq dataset in the clinical setting, but efforts are being made to</w:t>
      </w:r>
      <w:r>
        <w:t xml:space="preserve"> </w:t>
      </w:r>
      <w:r>
        <w:t xml:space="preserve">reduce costs by using shallow sequencing of multiple samples at the</w:t>
      </w:r>
      <w:r>
        <w:t xml:space="preserve"> </w:t>
      </w:r>
      <w:r>
        <w:t xml:space="preserve">same time, such as done by Alithea Genomics.</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bookmarkEnd w:id="52"/>
    <w:bookmarkStart w:id="114" w:name="references"/>
    <w:p>
      <w:pPr>
        <w:pStyle w:val="Heading1"/>
      </w:pPr>
      <w:r>
        <w:t xml:space="preserve">References</w:t>
      </w:r>
    </w:p>
    <w:bookmarkStart w:id="113" w:name="refs"/>
    <w:bookmarkStart w:id="53"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53"/>
    <w:bookmarkStart w:id="55"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54">
        <w:r>
          <w:rPr>
            <w:rStyle w:val="Hyperlink"/>
          </w:rPr>
          <w:t xml:space="preserve">https://doi.org/10.1023/a:1020299707510</w:t>
        </w:r>
      </w:hyperlink>
    </w:p>
    <w:bookmarkEnd w:id="55"/>
    <w:bookmarkStart w:id="57"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56">
        <w:r>
          <w:rPr>
            <w:rStyle w:val="Hyperlink"/>
          </w:rPr>
          <w:t xml:space="preserve">https://doi.org/10.1200/jco.19.02309</w:t>
        </w:r>
      </w:hyperlink>
    </w:p>
    <w:bookmarkEnd w:id="57"/>
    <w:bookmarkStart w:id="59"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58">
        <w:r>
          <w:rPr>
            <w:rStyle w:val="Hyperlink"/>
          </w:rPr>
          <w:t xml:space="preserve">https://doi.org/10.1038/s41523-021-00308-7</w:t>
        </w:r>
      </w:hyperlink>
    </w:p>
    <w:bookmarkEnd w:id="59"/>
    <w:bookmarkStart w:id="61"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60">
        <w:r>
          <w:rPr>
            <w:rStyle w:val="Hyperlink"/>
          </w:rPr>
          <w:t xml:space="preserve">https://doi.org/10.1056/nejmoa1602253</w:t>
        </w:r>
      </w:hyperlink>
    </w:p>
    <w:bookmarkEnd w:id="61"/>
    <w:bookmarkStart w:id="63"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62">
        <w:r>
          <w:rPr>
            <w:rStyle w:val="Hyperlink"/>
          </w:rPr>
          <w:t xml:space="preserve">https://doi.org/10.1200/jco.2008.18.1370</w:t>
        </w:r>
      </w:hyperlink>
    </w:p>
    <w:bookmarkEnd w:id="63"/>
    <w:bookmarkStart w:id="65"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64">
        <w:r>
          <w:rPr>
            <w:rStyle w:val="Hyperlink"/>
          </w:rPr>
          <w:t xml:space="preserve">https://doi.org/10.1056/nejmoa1804710</w:t>
        </w:r>
      </w:hyperlink>
    </w:p>
    <w:bookmarkEnd w:id="65"/>
    <w:bookmarkStart w:id="67"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66">
        <w:r>
          <w:rPr>
            <w:rStyle w:val="Hyperlink"/>
          </w:rPr>
          <w:t xml:space="preserve">https://doi.org/10.1158/1078-0432.ccr-11-0926</w:t>
        </w:r>
      </w:hyperlink>
    </w:p>
    <w:bookmarkEnd w:id="67"/>
    <w:bookmarkStart w:id="69"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68">
        <w:r>
          <w:rPr>
            <w:rStyle w:val="Hyperlink"/>
          </w:rPr>
          <w:t xml:space="preserve">https://doi.org/10.1186/bcr3038</w:t>
        </w:r>
      </w:hyperlink>
    </w:p>
    <w:bookmarkEnd w:id="69"/>
    <w:bookmarkStart w:id="71"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70">
        <w:r>
          <w:rPr>
            <w:rStyle w:val="Hyperlink"/>
          </w:rPr>
          <w:t xml:space="preserve">https://doi.org/10.1200/jco.22.00069</w:t>
        </w:r>
      </w:hyperlink>
    </w:p>
    <w:bookmarkEnd w:id="71"/>
    <w:bookmarkStart w:id="73"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72">
        <w:r>
          <w:rPr>
            <w:rStyle w:val="Hyperlink"/>
          </w:rPr>
          <w:t xml:space="preserve">https://doi.org/10.1200/jco.20.00853</w:t>
        </w:r>
      </w:hyperlink>
    </w:p>
    <w:bookmarkEnd w:id="73"/>
    <w:bookmarkStart w:id="75" w:name="ref-tcgabrca"/>
    <w:p>
      <w:pPr>
        <w:pStyle w:val="Bibliography"/>
      </w:pPr>
      <w:r>
        <w:t xml:space="preserve">12.</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74">
        <w:r>
          <w:rPr>
            <w:rStyle w:val="Hyperlink"/>
          </w:rPr>
          <w:t xml:space="preserve">https://doi.org/10.1038/nature11412</w:t>
        </w:r>
      </w:hyperlink>
    </w:p>
    <w:bookmarkEnd w:id="75"/>
    <w:bookmarkStart w:id="77" w:name="ref-Saal2015"/>
    <w:p>
      <w:pPr>
        <w:pStyle w:val="Bibliography"/>
      </w:pPr>
      <w:r>
        <w:t xml:space="preserve">13.</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76">
        <w:r>
          <w:rPr>
            <w:rStyle w:val="Hyperlink"/>
          </w:rPr>
          <w:t xml:space="preserve">https://doi.org/10.1186/s13073-015-0131-9</w:t>
        </w:r>
      </w:hyperlink>
    </w:p>
    <w:bookmarkEnd w:id="77"/>
    <w:bookmarkStart w:id="79" w:name="ref-Curtis2012"/>
    <w:p>
      <w:pPr>
        <w:pStyle w:val="Bibliography"/>
      </w:pPr>
      <w:r>
        <w:t xml:space="preserve">14.</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78">
        <w:r>
          <w:rPr>
            <w:rStyle w:val="Hyperlink"/>
          </w:rPr>
          <w:t xml:space="preserve">https://doi.org/10.1038/nature10983</w:t>
        </w:r>
      </w:hyperlink>
    </w:p>
    <w:bookmarkEnd w:id="79"/>
    <w:bookmarkStart w:id="81" w:name="ref-Gao2019"/>
    <w:p>
      <w:pPr>
        <w:pStyle w:val="Bibliography"/>
      </w:pPr>
      <w:r>
        <w:t xml:space="preserve">15.</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80">
        <w:r>
          <w:rPr>
            <w:rStyle w:val="Hyperlink"/>
          </w:rPr>
          <w:t xml:space="preserve">https://doi.org/10.1186/s13058-019-1223-z</w:t>
        </w:r>
      </w:hyperlink>
    </w:p>
    <w:bookmarkEnd w:id="81"/>
    <w:bookmarkStart w:id="83" w:name="ref-Subramanian2005"/>
    <w:p>
      <w:pPr>
        <w:pStyle w:val="Bibliography"/>
      </w:pPr>
      <w:r>
        <w:t xml:space="preserve">16.</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82">
        <w:r>
          <w:rPr>
            <w:rStyle w:val="Hyperlink"/>
          </w:rPr>
          <w:t xml:space="preserve">https://doi.org/10.1073/pnas.0506580102</w:t>
        </w:r>
      </w:hyperlink>
    </w:p>
    <w:bookmarkEnd w:id="83"/>
    <w:bookmarkStart w:id="85" w:name="ref-Liberzon2011"/>
    <w:p>
      <w:pPr>
        <w:pStyle w:val="Bibliography"/>
      </w:pPr>
      <w:r>
        <w:t xml:space="preserve">17.</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84">
        <w:r>
          <w:rPr>
            <w:rStyle w:val="Hyperlink"/>
          </w:rPr>
          <w:t xml:space="preserve">https://doi.org/10.1093/bioinformatics/btr260</w:t>
        </w:r>
      </w:hyperlink>
    </w:p>
    <w:bookmarkEnd w:id="85"/>
    <w:bookmarkStart w:id="86" w:name="ref-geoquery"/>
    <w:p>
      <w:pPr>
        <w:pStyle w:val="Bibliography"/>
      </w:pPr>
      <w:r>
        <w:t xml:space="preserve">18.</w:t>
      </w:r>
      <w:r>
        <w:t xml:space="preserve"> </w:t>
      </w:r>
      <w:r>
        <w:t xml:space="preserve">	</w:t>
      </w:r>
      <w:r>
        <w:t xml:space="preserve">Davis S, Meltzer P. GEOquery: A bridge between the gene expression omnibus (GEO) and BioConductor. Bioinformatics. 2007;14:1846–7.</w:t>
      </w:r>
      <w:r>
        <w:t xml:space="preserve"> </w:t>
      </w:r>
    </w:p>
    <w:bookmarkEnd w:id="86"/>
    <w:bookmarkStart w:id="88" w:name="ref-Bhuva2020"/>
    <w:p>
      <w:pPr>
        <w:pStyle w:val="Bibliography"/>
      </w:pPr>
      <w:r>
        <w:t xml:space="preserve">19.</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87">
        <w:r>
          <w:rPr>
            <w:rStyle w:val="Hyperlink"/>
          </w:rPr>
          <w:t xml:space="preserve">https://doi.org/10.1093/nar/gkaa802</w:t>
        </w:r>
      </w:hyperlink>
    </w:p>
    <w:bookmarkEnd w:id="88"/>
    <w:bookmarkStart w:id="90" w:name="ref-Blighe2022"/>
    <w:p>
      <w:pPr>
        <w:pStyle w:val="Bibliography"/>
      </w:pPr>
      <w:r>
        <w:t xml:space="preserve">20.</w:t>
      </w:r>
      <w:r>
        <w:t xml:space="preserve"> </w:t>
      </w:r>
      <w:r>
        <w:t xml:space="preserve">	</w:t>
      </w:r>
      <w:r>
        <w:t xml:space="preserve">Blighe K, Lun A. PCAtools: PCAtools: Everything principal components analysis [Internet]. 2022. Available from:</w:t>
      </w:r>
      <w:r>
        <w:t xml:space="preserve"> </w:t>
      </w:r>
      <w:hyperlink r:id="rId89">
        <w:r>
          <w:rPr>
            <w:rStyle w:val="Hyperlink"/>
          </w:rPr>
          <w:t xml:space="preserve">https://github.com/kevinblighe/PCAtools</w:t>
        </w:r>
      </w:hyperlink>
    </w:p>
    <w:bookmarkEnd w:id="90"/>
    <w:bookmarkStart w:id="92" w:name="ref-Hnzelmann2013"/>
    <w:p>
      <w:pPr>
        <w:pStyle w:val="Bibliography"/>
      </w:pPr>
      <w:r>
        <w:t xml:space="preserve">21.</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91">
        <w:r>
          <w:rPr>
            <w:rStyle w:val="Hyperlink"/>
          </w:rPr>
          <w:t xml:space="preserve">https://doi.org/10.1186/1471-2105-14-7</w:t>
        </w:r>
      </w:hyperlink>
    </w:p>
    <w:bookmarkEnd w:id="92"/>
    <w:bookmarkStart w:id="94" w:name="ref-Sinn2019"/>
    <w:p>
      <w:pPr>
        <w:pStyle w:val="Bibliography"/>
      </w:pPr>
      <w:r>
        <w:t xml:space="preserve">22.</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93">
        <w:r>
          <w:rPr>
            <w:rStyle w:val="Hyperlink"/>
          </w:rPr>
          <w:t xml:space="preserve">https://doi.org/10.1038/s41523-019-0111-0</w:t>
        </w:r>
      </w:hyperlink>
    </w:p>
    <w:bookmarkEnd w:id="94"/>
    <w:bookmarkStart w:id="96" w:name="ref-Mootha2003"/>
    <w:p>
      <w:pPr>
        <w:pStyle w:val="Bibliography"/>
      </w:pPr>
      <w:r>
        <w:t xml:space="preserve">23.</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95">
        <w:r>
          <w:rPr>
            <w:rStyle w:val="Hyperlink"/>
          </w:rPr>
          <w:t xml:space="preserve">https://doi.org/10.1038/ng1180</w:t>
        </w:r>
      </w:hyperlink>
    </w:p>
    <w:bookmarkEnd w:id="96"/>
    <w:bookmarkStart w:id="98" w:name="ref-Goodrich2022"/>
    <w:p>
      <w:pPr>
        <w:pStyle w:val="Bibliography"/>
      </w:pPr>
      <w:r>
        <w:t xml:space="preserve">24.</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97">
        <w:r>
          <w:rPr>
            <w:rStyle w:val="Hyperlink"/>
          </w:rPr>
          <w:t xml:space="preserve">https://mc-stan.org/rstanarm/</w:t>
        </w:r>
      </w:hyperlink>
    </w:p>
    <w:bookmarkEnd w:id="98"/>
    <w:bookmarkStart w:id="100" w:name="ref-Kay2022"/>
    <w:p>
      <w:pPr>
        <w:pStyle w:val="Bibliography"/>
      </w:pPr>
      <w:r>
        <w:t xml:space="preserve">25.</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99">
        <w:r>
          <w:rPr>
            <w:rStyle w:val="Hyperlink"/>
          </w:rPr>
          <w:t xml:space="preserve">http://mjskay.github.io/tidybayes/</w:t>
        </w:r>
      </w:hyperlink>
    </w:p>
    <w:bookmarkEnd w:id="100"/>
    <w:bookmarkStart w:id="102" w:name="ref-Dowsett2011"/>
    <w:p>
      <w:pPr>
        <w:pStyle w:val="Bibliography"/>
      </w:pPr>
      <w:r>
        <w:t xml:space="preserve">26.</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01">
        <w:r>
          <w:rPr>
            <w:rStyle w:val="Hyperlink"/>
          </w:rPr>
          <w:t xml:space="preserve">https://doi.org/10.1093/jncimonographs/lgr034</w:t>
        </w:r>
      </w:hyperlink>
    </w:p>
    <w:bookmarkEnd w:id="102"/>
    <w:bookmarkStart w:id="104" w:name="ref-Zhang2020"/>
    <w:p>
      <w:pPr>
        <w:pStyle w:val="Bibliography"/>
      </w:pPr>
      <w:r>
        <w:t xml:space="preserve">27.</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103">
        <w:r>
          <w:rPr>
            <w:rStyle w:val="Hyperlink"/>
          </w:rPr>
          <w:t xml:space="preserve">https://doi.org/10.1093/nargab/lqaa078</w:t>
        </w:r>
      </w:hyperlink>
    </w:p>
    <w:bookmarkEnd w:id="104"/>
    <w:bookmarkStart w:id="106" w:name="ref-Risso2014"/>
    <w:p>
      <w:pPr>
        <w:pStyle w:val="Bibliography"/>
      </w:pPr>
      <w:r>
        <w:t xml:space="preserve">28.</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105">
        <w:r>
          <w:rPr>
            <w:rStyle w:val="Hyperlink"/>
          </w:rPr>
          <w:t xml:space="preserve">https://doi.org/10.1038/nbt.2931</w:t>
        </w:r>
      </w:hyperlink>
    </w:p>
    <w:bookmarkEnd w:id="106"/>
    <w:bookmarkStart w:id="108" w:name="ref-Arima2018"/>
    <w:p>
      <w:pPr>
        <w:pStyle w:val="Bibliography"/>
      </w:pPr>
      <w:r>
        <w:t xml:space="preserve">29.</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07">
        <w:r>
          <w:rPr>
            <w:rStyle w:val="Hyperlink"/>
          </w:rPr>
          <w:t xml:space="preserve">https://doi.org/10.3892/ol.2018.9633</w:t>
        </w:r>
      </w:hyperlink>
    </w:p>
    <w:bookmarkEnd w:id="108"/>
    <w:bookmarkStart w:id="110" w:name="ref-Hickey2021"/>
    <w:p>
      <w:pPr>
        <w:pStyle w:val="Bibliography"/>
      </w:pPr>
      <w:r>
        <w:t xml:space="preserve">30.</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09">
        <w:r>
          <w:rPr>
            <w:rStyle w:val="Hyperlink"/>
          </w:rPr>
          <w:t xml:space="preserve">https://doi.org/10.1038/s41591-020-01168-7</w:t>
        </w:r>
      </w:hyperlink>
    </w:p>
    <w:bookmarkEnd w:id="110"/>
    <w:bookmarkStart w:id="112" w:name="ref-Foroutan2018"/>
    <w:p>
      <w:pPr>
        <w:pStyle w:val="Bibliography"/>
      </w:pPr>
      <w:r>
        <w:t xml:space="preserve">31.</w:t>
      </w:r>
      <w:r>
        <w:t xml:space="preserve"> </w:t>
      </w:r>
      <w:r>
        <w:t xml:space="preserve">	</w:t>
      </w:r>
      <w:r>
        <w:t xml:space="preserve">Foroutan M, Bhuva DD, Lyu R, Horan K, Cursons J, Davis MJ. Single sample scoring of molecular phenotypes.</w:t>
      </w:r>
      <w:r>
        <w:t xml:space="preserve"> </w:t>
      </w:r>
      <w:r>
        <w:t xml:space="preserve">BMC</w:t>
      </w:r>
      <w:r>
        <w:t xml:space="preserve"> </w:t>
      </w:r>
      <w:r>
        <w:t xml:space="preserve">Bioinformatics [Internet]. Springer Science; Business Media</w:t>
      </w:r>
      <w:r>
        <w:t xml:space="preserve"> </w:t>
      </w:r>
      <w:r>
        <w:t xml:space="preserve">LLC</w:t>
      </w:r>
      <w:r>
        <w:t xml:space="preserve">; 2018;19. Available from:</w:t>
      </w:r>
      <w:r>
        <w:t xml:space="preserve"> </w:t>
      </w:r>
      <w:hyperlink r:id="rId111">
        <w:r>
          <w:rPr>
            <w:rStyle w:val="Hyperlink"/>
          </w:rPr>
          <w:t xml:space="preserve">https://doi.org/10.1186/s12859-018-2435-4</w:t>
        </w:r>
      </w:hyperlink>
    </w:p>
    <w:bookmarkEnd w:id="112"/>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hyperlink" Id="rId99" Target="http://mjskay.github.io/tidybayes/" TargetMode="External" /><Relationship Type="http://schemas.openxmlformats.org/officeDocument/2006/relationships/hyperlink" Id="rId28" Target="https://chronchi.github.io/molecular_landscape" TargetMode="External" /><Relationship Type="http://schemas.openxmlformats.org/officeDocument/2006/relationships/hyperlink" Id="rId54" Target="https://doi.org/10.1023/a:1020299707510" TargetMode="External" /><Relationship Type="http://schemas.openxmlformats.org/officeDocument/2006/relationships/hyperlink" Id="rId78" Target="https://doi.org/10.1038/nature10983" TargetMode="External" /><Relationship Type="http://schemas.openxmlformats.org/officeDocument/2006/relationships/hyperlink" Id="rId74" Target="https://doi.org/10.1038/nature11412" TargetMode="External" /><Relationship Type="http://schemas.openxmlformats.org/officeDocument/2006/relationships/hyperlink" Id="rId105" Target="https://doi.org/10.1038/nbt.2931" TargetMode="External" /><Relationship Type="http://schemas.openxmlformats.org/officeDocument/2006/relationships/hyperlink" Id="rId95" Target="https://doi.org/10.1038/ng1180" TargetMode="External" /><Relationship Type="http://schemas.openxmlformats.org/officeDocument/2006/relationships/hyperlink" Id="rId93" Target="https://doi.org/10.1038/s41523-019-0111-0" TargetMode="External" /><Relationship Type="http://schemas.openxmlformats.org/officeDocument/2006/relationships/hyperlink" Id="rId58" Target="https://doi.org/10.1038/s41523-021-00308-7" TargetMode="External" /><Relationship Type="http://schemas.openxmlformats.org/officeDocument/2006/relationships/hyperlink" Id="rId109" Target="https://doi.org/10.1038/s41591-020-01168-7" TargetMode="External" /><Relationship Type="http://schemas.openxmlformats.org/officeDocument/2006/relationships/hyperlink" Id="rId60" Target="https://doi.org/10.1056/nejmoa1602253" TargetMode="External" /><Relationship Type="http://schemas.openxmlformats.org/officeDocument/2006/relationships/hyperlink" Id="rId64" Target="https://doi.org/10.1056/nejmoa1804710" TargetMode="External" /><Relationship Type="http://schemas.openxmlformats.org/officeDocument/2006/relationships/hyperlink" Id="rId82" Target="https://doi.org/10.1073/pnas.0506580102" TargetMode="External" /><Relationship Type="http://schemas.openxmlformats.org/officeDocument/2006/relationships/hyperlink" Id="rId84" Target="https://doi.org/10.1093/bioinformatics/btr260" TargetMode="External" /><Relationship Type="http://schemas.openxmlformats.org/officeDocument/2006/relationships/hyperlink" Id="rId101" Target="https://doi.org/10.1093/jncimonographs/lgr034" TargetMode="External" /><Relationship Type="http://schemas.openxmlformats.org/officeDocument/2006/relationships/hyperlink" Id="rId87" Target="https://doi.org/10.1093/nar/gkaa802" TargetMode="External" /><Relationship Type="http://schemas.openxmlformats.org/officeDocument/2006/relationships/hyperlink" Id="rId103" Target="https://doi.org/10.1093/nargab/lqaa078" TargetMode="External" /><Relationship Type="http://schemas.openxmlformats.org/officeDocument/2006/relationships/hyperlink" Id="rId66" Target="https://doi.org/10.1158/1078-0432.ccr-11-0926" TargetMode="External" /><Relationship Type="http://schemas.openxmlformats.org/officeDocument/2006/relationships/hyperlink" Id="rId91" Target="https://doi.org/10.1186/1471-2105-14-7" TargetMode="External" /><Relationship Type="http://schemas.openxmlformats.org/officeDocument/2006/relationships/hyperlink" Id="rId68" Target="https://doi.org/10.1186/bcr3038" TargetMode="External" /><Relationship Type="http://schemas.openxmlformats.org/officeDocument/2006/relationships/hyperlink" Id="rId111" Target="https://doi.org/10.1186/s12859-018-2435-4" TargetMode="External" /><Relationship Type="http://schemas.openxmlformats.org/officeDocument/2006/relationships/hyperlink" Id="rId80" Target="https://doi.org/10.1186/s13058-019-1223-z" TargetMode="External" /><Relationship Type="http://schemas.openxmlformats.org/officeDocument/2006/relationships/hyperlink" Id="rId76" Target="https://doi.org/10.1186/s13073-015-0131-9" TargetMode="External" /><Relationship Type="http://schemas.openxmlformats.org/officeDocument/2006/relationships/hyperlink" Id="rId56" Target="https://doi.org/10.1200/jco.19.02309" TargetMode="External" /><Relationship Type="http://schemas.openxmlformats.org/officeDocument/2006/relationships/hyperlink" Id="rId72" Target="https://doi.org/10.1200/jco.20.00853" TargetMode="External" /><Relationship Type="http://schemas.openxmlformats.org/officeDocument/2006/relationships/hyperlink" Id="rId62" Target="https://doi.org/10.1200/jco.2008.18.1370" TargetMode="External" /><Relationship Type="http://schemas.openxmlformats.org/officeDocument/2006/relationships/hyperlink" Id="rId70" Target="https://doi.org/10.1200/jco.22.00069" TargetMode="External" /><Relationship Type="http://schemas.openxmlformats.org/officeDocument/2006/relationships/hyperlink" Id="rId107" Target="https://doi.org/10.3892/ol.2018.9633" TargetMode="External" /><Relationship Type="http://schemas.openxmlformats.org/officeDocument/2006/relationships/hyperlink" Id="rId89" Target="https://github.com/kevinblighe/PCAtools" TargetMode="External" /><Relationship Type="http://schemas.openxmlformats.org/officeDocument/2006/relationships/hyperlink" Id="rId97"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99" Target="http://mjskay.github.io/tidybayes/" TargetMode="External" /><Relationship Type="http://schemas.openxmlformats.org/officeDocument/2006/relationships/hyperlink" Id="rId28" Target="https://chronchi.github.io/molecular_landscape" TargetMode="External" /><Relationship Type="http://schemas.openxmlformats.org/officeDocument/2006/relationships/hyperlink" Id="rId54" Target="https://doi.org/10.1023/a:1020299707510" TargetMode="External" /><Relationship Type="http://schemas.openxmlformats.org/officeDocument/2006/relationships/hyperlink" Id="rId78" Target="https://doi.org/10.1038/nature10983" TargetMode="External" /><Relationship Type="http://schemas.openxmlformats.org/officeDocument/2006/relationships/hyperlink" Id="rId74" Target="https://doi.org/10.1038/nature11412" TargetMode="External" /><Relationship Type="http://schemas.openxmlformats.org/officeDocument/2006/relationships/hyperlink" Id="rId105" Target="https://doi.org/10.1038/nbt.2931" TargetMode="External" /><Relationship Type="http://schemas.openxmlformats.org/officeDocument/2006/relationships/hyperlink" Id="rId95" Target="https://doi.org/10.1038/ng1180" TargetMode="External" /><Relationship Type="http://schemas.openxmlformats.org/officeDocument/2006/relationships/hyperlink" Id="rId93" Target="https://doi.org/10.1038/s41523-019-0111-0" TargetMode="External" /><Relationship Type="http://schemas.openxmlformats.org/officeDocument/2006/relationships/hyperlink" Id="rId58" Target="https://doi.org/10.1038/s41523-021-00308-7" TargetMode="External" /><Relationship Type="http://schemas.openxmlformats.org/officeDocument/2006/relationships/hyperlink" Id="rId109" Target="https://doi.org/10.1038/s41591-020-01168-7" TargetMode="External" /><Relationship Type="http://schemas.openxmlformats.org/officeDocument/2006/relationships/hyperlink" Id="rId60" Target="https://doi.org/10.1056/nejmoa1602253" TargetMode="External" /><Relationship Type="http://schemas.openxmlformats.org/officeDocument/2006/relationships/hyperlink" Id="rId64" Target="https://doi.org/10.1056/nejmoa1804710" TargetMode="External" /><Relationship Type="http://schemas.openxmlformats.org/officeDocument/2006/relationships/hyperlink" Id="rId82" Target="https://doi.org/10.1073/pnas.0506580102" TargetMode="External" /><Relationship Type="http://schemas.openxmlformats.org/officeDocument/2006/relationships/hyperlink" Id="rId84" Target="https://doi.org/10.1093/bioinformatics/btr260" TargetMode="External" /><Relationship Type="http://schemas.openxmlformats.org/officeDocument/2006/relationships/hyperlink" Id="rId101" Target="https://doi.org/10.1093/jncimonographs/lgr034" TargetMode="External" /><Relationship Type="http://schemas.openxmlformats.org/officeDocument/2006/relationships/hyperlink" Id="rId87" Target="https://doi.org/10.1093/nar/gkaa802" TargetMode="External" /><Relationship Type="http://schemas.openxmlformats.org/officeDocument/2006/relationships/hyperlink" Id="rId103" Target="https://doi.org/10.1093/nargab/lqaa078" TargetMode="External" /><Relationship Type="http://schemas.openxmlformats.org/officeDocument/2006/relationships/hyperlink" Id="rId66" Target="https://doi.org/10.1158/1078-0432.ccr-11-0926" TargetMode="External" /><Relationship Type="http://schemas.openxmlformats.org/officeDocument/2006/relationships/hyperlink" Id="rId91" Target="https://doi.org/10.1186/1471-2105-14-7" TargetMode="External" /><Relationship Type="http://schemas.openxmlformats.org/officeDocument/2006/relationships/hyperlink" Id="rId68" Target="https://doi.org/10.1186/bcr3038" TargetMode="External" /><Relationship Type="http://schemas.openxmlformats.org/officeDocument/2006/relationships/hyperlink" Id="rId111" Target="https://doi.org/10.1186/s12859-018-2435-4" TargetMode="External" /><Relationship Type="http://schemas.openxmlformats.org/officeDocument/2006/relationships/hyperlink" Id="rId80" Target="https://doi.org/10.1186/s13058-019-1223-z" TargetMode="External" /><Relationship Type="http://schemas.openxmlformats.org/officeDocument/2006/relationships/hyperlink" Id="rId76" Target="https://doi.org/10.1186/s13073-015-0131-9" TargetMode="External" /><Relationship Type="http://schemas.openxmlformats.org/officeDocument/2006/relationships/hyperlink" Id="rId56" Target="https://doi.org/10.1200/jco.19.02309" TargetMode="External" /><Relationship Type="http://schemas.openxmlformats.org/officeDocument/2006/relationships/hyperlink" Id="rId72" Target="https://doi.org/10.1200/jco.20.00853" TargetMode="External" /><Relationship Type="http://schemas.openxmlformats.org/officeDocument/2006/relationships/hyperlink" Id="rId62" Target="https://doi.org/10.1200/jco.2008.18.1370" TargetMode="External" /><Relationship Type="http://schemas.openxmlformats.org/officeDocument/2006/relationships/hyperlink" Id="rId70" Target="https://doi.org/10.1200/jco.22.00069" TargetMode="External" /><Relationship Type="http://schemas.openxmlformats.org/officeDocument/2006/relationships/hyperlink" Id="rId107" Target="https://doi.org/10.3892/ol.2018.9633" TargetMode="External" /><Relationship Type="http://schemas.openxmlformats.org/officeDocument/2006/relationships/hyperlink" Id="rId89" Target="https://github.com/kevinblighe/PCAtools" TargetMode="External" /><Relationship Type="http://schemas.openxmlformats.org/officeDocument/2006/relationships/hyperlink" Id="rId97"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new framework for personalized medicine in Breast Cancer</dc:title>
  <dc:creator>Carlos Ronchi, Cathrin Brisken</dc:creator>
  <cp:keywords/>
  <dcterms:created xsi:type="dcterms:W3CDTF">2022-10-19T10:00:26Z</dcterms:created>
  <dcterms:modified xsi:type="dcterms:W3CDTF">2022-10-19T10:00:26Z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